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Утверждена</w:t>
      </w:r>
      <w:r/>
    </w:p>
    <w:p>
      <w:pPr>
        <w:jc w:val="right"/>
      </w:pPr>
      <w:r>
        <w:t xml:space="preserve"> постановлением администрации </w:t>
      </w:r>
      <w:r/>
      <w:r/>
    </w:p>
    <w:p>
      <w:pPr>
        <w:jc w:val="right"/>
      </w:pPr>
      <w:r>
        <w:t xml:space="preserve">Бутурлинского муниципального района</w:t>
      </w:r>
      <w:r/>
      <w:r/>
    </w:p>
    <w:p>
      <w:pPr>
        <w:jc w:val="right"/>
      </w:pPr>
      <w:r>
        <w:t xml:space="preserve">Нижегородской области</w:t>
      </w:r>
      <w:r/>
      <w:r/>
    </w:p>
    <w:p>
      <w:pPr>
        <w:jc w:val="right"/>
      </w:pPr>
      <w:r>
        <w:t xml:space="preserve">                                                                               </w:t>
      </w:r>
      <w:r>
        <w:t xml:space="preserve">             от 01.10.2020 № 922</w:t>
      </w:r>
      <w:bookmarkStart w:id="0" w:name="undefined"/>
      <w:r/>
      <w:bookmarkEnd w:id="0"/>
      <w:r>
        <w:t xml:space="preserve"> </w:t>
      </w:r>
      <w:r/>
      <w:r/>
    </w:p>
    <w:p>
      <w:pPr>
        <w:jc w:val="right"/>
      </w:pPr>
      <w:r>
        <w:t xml:space="preserve">в редакции постановления администрации</w:t>
      </w:r>
      <w:r/>
      <w:r/>
    </w:p>
    <w:p>
      <w:pPr>
        <w:jc w:val="right"/>
      </w:pPr>
      <w:r>
        <w:t xml:space="preserve">Бутурлинского муниципального округа</w:t>
      </w:r>
      <w:r/>
      <w:r/>
    </w:p>
    <w:p>
      <w:pPr>
        <w:jc w:val="right"/>
        <w:rPr>
          <w:color w:val="000000"/>
        </w:rPr>
      </w:pPr>
      <w:r>
        <w:t xml:space="preserve">                                                                                            </w:t>
      </w:r>
      <w:r>
        <w:rPr>
          <w:color w:val="000000"/>
        </w:rPr>
        <w:t xml:space="preserve">от 26</w:t>
      </w:r>
      <w:r>
        <w:rPr>
          <w:color w:val="000000"/>
        </w:rPr>
        <w:t xml:space="preserve">.03.2026</w:t>
      </w:r>
      <w:r>
        <w:rPr>
          <w:color w:val="000000"/>
        </w:rPr>
        <w:t xml:space="preserve"> № </w:t>
      </w:r>
      <w:r>
        <w:rPr>
          <w:color w:val="000000"/>
        </w:rPr>
        <w:t xml:space="preserve">369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color w:val="000000"/>
        </w:rPr>
      </w:r>
    </w:p>
    <w:p>
      <w:pPr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7"/>
        <w:jc w:val="lef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                                                   Актуальная редакция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31"/>
        <w:rPr>
          <w:i w:val="0"/>
          <w:szCs w:val="32"/>
        </w:rPr>
      </w:pPr>
      <w:r>
        <w:rPr>
          <w:i w:val="0"/>
          <w:szCs w:val="32"/>
        </w:rPr>
        <w:t xml:space="preserve">Муниципальной программы</w:t>
      </w:r>
      <w:r>
        <w:rPr>
          <w:i w:val="0"/>
          <w:szCs w:val="32"/>
        </w:rPr>
      </w:r>
      <w:r>
        <w:rPr>
          <w:i w:val="0"/>
          <w:szCs w:val="32"/>
        </w:rPr>
      </w:r>
    </w:p>
    <w:p>
      <w:pPr>
        <w:pStyle w:val="932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</w:t>
      </w:r>
      <w:r>
        <w:rPr>
          <w:b/>
          <w:sz w:val="28"/>
          <w:szCs w:val="28"/>
        </w:rPr>
        <w:t xml:space="preserve">звитие въездного и внутреннего </w:t>
      </w:r>
      <w:r>
        <w:rPr>
          <w:b/>
          <w:sz w:val="28"/>
          <w:szCs w:val="28"/>
        </w:rPr>
        <w:t xml:space="preserve">туризма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Бутурлинском </w:t>
      </w:r>
      <w:r>
        <w:rPr>
          <w:b/>
          <w:sz w:val="28"/>
          <w:szCs w:val="28"/>
        </w:rPr>
        <w:t xml:space="preserve">муниципальном округе Нижегородской области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2"/>
        <w:jc w:val="center"/>
        <w:spacing w:after="0"/>
        <w:rPr>
          <w:b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(далее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Программа)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1"/>
        <w:rPr>
          <w:i w:val="0"/>
        </w:rPr>
      </w:pPr>
      <w:r>
        <w:rPr>
          <w:i w:val="0"/>
          <w:lang w:val="en-US"/>
        </w:rPr>
        <w:t xml:space="preserve">I</w:t>
      </w:r>
      <w:r>
        <w:rPr>
          <w:i w:val="0"/>
        </w:rPr>
        <w:t xml:space="preserve">. Паспорт П</w:t>
      </w:r>
      <w:r>
        <w:rPr>
          <w:i w:val="0"/>
        </w:rPr>
        <w:t xml:space="preserve">рограммы</w:t>
      </w:r>
      <w:r>
        <w:rPr>
          <w:i w:val="0"/>
        </w:rPr>
      </w:r>
      <w:r>
        <w:rPr>
          <w:i w:val="0"/>
        </w:rPr>
      </w:r>
    </w:p>
    <w:tbl>
      <w:tblPr>
        <w:tblW w:w="100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85"/>
        <w:gridCol w:w="6923"/>
      </w:tblGrid>
      <w:tr>
        <w:tblPrEx/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23" w:type="dxa"/>
            <w:vAlign w:val="top"/>
            <w:textDirection w:val="lrTb"/>
            <w:noWrap w:val="false"/>
          </w:tcPr>
          <w:p>
            <w:pPr>
              <w:pStyle w:val="931"/>
              <w:ind w:firstLine="515"/>
              <w:jc w:val="both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</w:rPr>
              <w:t xml:space="preserve">Администрация Бутурлинского муниципального </w:t>
            </w:r>
            <w:r>
              <w:rPr>
                <w:b w:val="0"/>
                <w:i w:val="0"/>
                <w:szCs w:val="28"/>
              </w:rPr>
              <w:t xml:space="preserve">округа</w:t>
            </w:r>
            <w:r>
              <w:rPr>
                <w:b w:val="0"/>
                <w:i w:val="0"/>
                <w:szCs w:val="28"/>
              </w:rPr>
              <w:t xml:space="preserve"> Нижегородской области</w:t>
            </w:r>
            <w:r>
              <w:rPr>
                <w:b w:val="0"/>
                <w:i w:val="0"/>
                <w:szCs w:val="28"/>
              </w:rPr>
            </w:r>
            <w:r>
              <w:rPr>
                <w:b w:val="0"/>
                <w:i w:val="0"/>
                <w:szCs w:val="28"/>
              </w:rPr>
            </w:r>
          </w:p>
        </w:tc>
      </w:tr>
      <w:tr>
        <w:tblPrEx/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Соисполнитель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23" w:type="dxa"/>
            <w:vAlign w:val="top"/>
            <w:textDirection w:val="lrTb"/>
            <w:noWrap w:val="false"/>
          </w:tcPr>
          <w:p>
            <w:pPr>
              <w:pStyle w:val="877"/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культуры Бутурлинского 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  <w:t xml:space="preserve"> Нижегородской области «Центр досуга, ремесел и туризма».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23" w:type="dxa"/>
            <w:vAlign w:val="top"/>
            <w:textDirection w:val="lrTb"/>
            <w:noWrap w:val="false"/>
          </w:tcPr>
          <w:p>
            <w:pPr>
              <w:pStyle w:val="877"/>
              <w:ind w:firstLine="5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и развитие в Бутурлинском </w:t>
            </w:r>
            <w:r>
              <w:rPr>
                <w:sz w:val="28"/>
                <w:szCs w:val="28"/>
              </w:rPr>
              <w:t xml:space="preserve">муниципальном округе</w:t>
            </w:r>
            <w:r>
              <w:rPr>
                <w:sz w:val="28"/>
                <w:szCs w:val="28"/>
              </w:rPr>
              <w:t xml:space="preserve"> сферы туризма, способствующей социально-экономическому развитию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  <w:t xml:space="preserve">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923" w:type="dxa"/>
            <w:vAlign w:val="top"/>
            <w:textDirection w:val="lrTb"/>
            <w:noWrap w:val="false"/>
          </w:tcPr>
          <w:p>
            <w:pPr>
              <w:pStyle w:val="877"/>
              <w:ind w:firstLine="515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Маркетинг и реклама туристического потенциала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ind w:firstLine="515"/>
              <w:spacing w:line="240" w:lineRule="atLeast"/>
              <w:tabs>
                <w:tab w:val="left" w:pos="3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</w:t>
            </w:r>
            <w:r>
              <w:rPr>
                <w:sz w:val="28"/>
                <w:szCs w:val="28"/>
              </w:rPr>
              <w:t xml:space="preserve">ование конкурентоспособного турпродукта, участие выставках, форумах в сфере туризма, организация работы кружков, студий, клубов декоративно-прикладного творчества, создание экспозиций популяризирующих историко-культурное и природное наследие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, формирование базы данных потенциальных участников туристических программ из числа жителей Бутурлинского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и включение их к предоставлению услуг в сфере туризма.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ind w:firstLine="515"/>
              <w:spacing w:line="240" w:lineRule="atLeast"/>
              <w:tabs>
                <w:tab w:val="left" w:pos="33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Программы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6923" w:type="dxa"/>
            <w:vAlign w:val="top"/>
            <w:textDirection w:val="lrTb"/>
            <w:noWrap w:val="false"/>
          </w:tcPr>
          <w:p>
            <w:pPr>
              <w:pStyle w:val="87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реализуется в один этап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  <w:right w:val="single" w:color="000000" w:sz="4" w:space="0"/>
            </w:tcBorders>
            <w:tcW w:w="3085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программы за счет средств бюджета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3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</w:tcBorders>
            <w:tcW w:w="6923" w:type="dxa"/>
            <w:vAlign w:val="top"/>
            <w:textDirection w:val="lrTb"/>
            <w:noWrap w:val="false"/>
          </w:tcPr>
          <w:p>
            <w:pPr>
              <w:pStyle w:val="877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292 245,5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 по годам реализации: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tbl>
            <w:tblPr>
              <w:tblW w:w="4712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3124"/>
            </w:tblGrid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2021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 w:eastAsia="ru-RU"/>
                    </w:rPr>
                    <w:t xml:space="preserve">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3 226,2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2022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34 329,7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2023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36 874,0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2024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37 918,9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2025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35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 959,9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2026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42 103,9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2027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40 407,2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  <w:tr>
              <w:tblPrEx/>
              <w:trPr>
                <w:trHeight w:val="336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88" w:type="dxa"/>
                  <w:vAlign w:val="center"/>
                  <w:textDirection w:val="lrTb"/>
                  <w:noWrap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2028 год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24" w:type="dxa"/>
                  <w:vAlign w:val="center"/>
                  <w:textDirection w:val="lrTb"/>
                  <w:noWrap w:val="false"/>
                </w:tcPr>
                <w:p>
                  <w:pPr>
                    <w:pStyle w:val="877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41 425,7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 тыс. рублей</w:t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7"/>
      </w:pPr>
      <w:r/>
      <w:r/>
    </w:p>
    <w:p>
      <w:pPr>
        <w:pStyle w:val="877"/>
        <w:jc w:val="center"/>
        <w:rPr>
          <w:b/>
        </w:rPr>
      </w:pPr>
      <w:r>
        <w:rPr>
          <w:rStyle w:val="934"/>
          <w:b/>
          <w:color w:val="000000"/>
        </w:rPr>
        <w:t xml:space="preserve">Индикаторы достижения цели и показатели непосредственных результатов</w:t>
      </w:r>
      <w:r>
        <w:rPr>
          <w:b/>
        </w:rPr>
      </w:r>
      <w:r>
        <w:rPr>
          <w:b/>
        </w:rPr>
      </w:r>
    </w:p>
    <w:p>
      <w:pPr>
        <w:pStyle w:val="877"/>
      </w:pPr>
      <w:r/>
      <w:r/>
    </w:p>
    <w:tbl>
      <w:tblPr>
        <w:tblW w:w="100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6"/>
        <w:gridCol w:w="162"/>
        <w:gridCol w:w="2106"/>
        <w:gridCol w:w="76"/>
        <w:gridCol w:w="1053"/>
        <w:gridCol w:w="709"/>
        <w:gridCol w:w="709"/>
        <w:gridCol w:w="703"/>
        <w:gridCol w:w="714"/>
        <w:gridCol w:w="704"/>
        <w:gridCol w:w="708"/>
        <w:gridCol w:w="714"/>
        <w:gridCol w:w="817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N п/п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Наименование индикатора/ непосредственного результата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Ед. измерения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Значение индикатора/непосредственного результата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2021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2022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2023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2024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2025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2026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2027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2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3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4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5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7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9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10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</w:tr>
      <w:tr>
        <w:tblPrEx/>
        <w:trPr>
          <w:trHeight w:val="470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Муниципальная программа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9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Индикатор 1. Увеличение количества выставочных проектов, осуществляемых в районе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% по отношению к 2013 году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Непосредственный результат 1.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 xml:space="preserve">Увеличение количества туристических маршрутов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Единиц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26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Непосредственный результат 2. Увеличение количества объектов показа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Единиц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</w:tbl>
    <w:p>
      <w:pPr>
        <w:pStyle w:val="877"/>
      </w:pPr>
      <w:r/>
      <w:r/>
    </w:p>
    <w:p>
      <w:pPr>
        <w:pStyle w:val="87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Текстовая часть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</w:t>
        <w:tab/>
        <w:t xml:space="preserve">Характеристика текущего состояния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туризмом согласно действующему законодательству Российской Федерации понима</w:t>
      </w:r>
      <w:r>
        <w:rPr>
          <w:rFonts w:ascii="Times New Roman" w:hAnsi="Times New Roman" w:cs="Times New Roman"/>
          <w:sz w:val="28"/>
          <w:szCs w:val="28"/>
        </w:rPr>
        <w:t xml:space="preserve">ются временные выезды (путешествия) граждан Российской Федерации, иностранных граждан и лиц без гражданства с постоянным местом жительства в оздоровительных, познавательных, профессионально-деловых, спортивных, религиозных и иных целях без занятия оплачива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мой деятельностью в стране (месте) временного пребывания.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туристской индустрией понимается совокупность гостиниц и иных средств размещ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ния, средств транспорта, объектов общественного питания, объектов и средств ра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ций, предоставляющих экскурсионные услуги и услуги гидов-переводчиков. К туристским р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сурсам относятся: природные, исторические, социально-культурные объекты, включающие объекты туристского показа, а также иные объекты, способные удовлетворить духовные потребности туристов, содейс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вовать восстановлению и развитию их физических сил.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Программа направлена на обеспечение мер организационной и финансовой поддержки туристической деятельности в Бутурлинском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округе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формирования и развития в Буту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линском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муниципальном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округе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конкурентоспособной туристской индустрии, способству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щей социально-экономическому развитию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Бутурлинского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округа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удовлетворению потребностей граждан   в   активном   и   полноценном   отдыхе, укреплению здоровья,  приобщению  к  культурным и историческим ценн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стям.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разработки и принятия программы «Развитие въездного и внутреннего  туризма в Бутурлинском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округе</w:t>
      </w:r>
      <w:r>
        <w:rPr>
          <w:rFonts w:ascii="Times New Roman" w:hAnsi="Times New Roman" w:cs="Times New Roman"/>
          <w:sz w:val="28"/>
          <w:szCs w:val="28"/>
        </w:rPr>
        <w:t xml:space="preserve">» обусловлена общероссийскими тенденциями развития отрасли «т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риз</w:t>
      </w:r>
      <w:r>
        <w:rPr>
          <w:rFonts w:ascii="Times New Roman" w:hAnsi="Times New Roman" w:cs="Times New Roman"/>
          <w:sz w:val="28"/>
          <w:szCs w:val="28"/>
        </w:rPr>
        <w:t xml:space="preserve">м». Современная туристская индустрия является одной из крупнейших высокодоходных и наиболее динамично развивающихся отраслей мирового хозяйства. Причиной столь успешного развития отрасли является социально-экономический эффект, получаемый в результате разв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тия туризма.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Бутурлинский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располагает достаточным туристическим ресурсом.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История Бутурлинского края уходит корнями в далекое прошлое. В середине </w:t>
      </w:r>
      <w:r>
        <w:rPr>
          <w:sz w:val="28"/>
          <w:szCs w:val="28"/>
          <w:lang w:val="en-US"/>
        </w:rPr>
        <w:t xml:space="preserve">XVI</w:t>
      </w:r>
      <w:r>
        <w:rPr>
          <w:sz w:val="28"/>
          <w:szCs w:val="28"/>
        </w:rPr>
        <w:t xml:space="preserve"> века, после удачно завершенного похода русских войск на Казань, царь Иван Грозный ж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ловал земли по реке Пьяне своему соратнику- боярину Ф.И.Бутурлину. На своих землях Бутурлин отстроил село (заложено в 1552 году).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Первые письменные упоминания о людях Припьянья относятся к 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 веку: Готский ист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рик упоминает страну Мордию.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 xml:space="preserve">XII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XIII</w:t>
      </w:r>
      <w:r>
        <w:rPr>
          <w:sz w:val="28"/>
          <w:szCs w:val="28"/>
        </w:rPr>
        <w:t xml:space="preserve"> в.в. проходит мирное заселение Мордовских земель славянами, в </w:t>
      </w:r>
      <w:r>
        <w:rPr>
          <w:sz w:val="28"/>
          <w:szCs w:val="28"/>
          <w:lang w:val="en-US"/>
        </w:rPr>
        <w:t xml:space="preserve">XVII</w:t>
      </w:r>
      <w:r>
        <w:rPr>
          <w:sz w:val="28"/>
          <w:szCs w:val="28"/>
        </w:rPr>
        <w:t xml:space="preserve"> веке наблюдается дальнейший уход мордвы с Бутурлинских земель, связанный с усилением гнета и пр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нудительной христианизацией. От них остаются лишь названия некоторых сел – Большие Бакалды (яма), Вергизай (волчье место) и проч. В топонимике Бутурлинского края встречаются не только мо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довские названия, но и  марийские, и татарские.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историей края связаны имена известных в русской истории лиц: воеводы боярина Б.И.Морозова, воспитателя царя Алексея Михайловича; адмирала Р.М.Апраксина, сора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ника Петра Первого, первого кавалера ордена Андрея Первозванного; отца и сыновей Каменских, знаменитых полководцев, соратников А.В.Суворова; декабриста И.А. Анненк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ва; художника И.Е. Репина, посетившего имение помещиков Званцевых в селе Тарталей и других.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Бутурлинский </w:t>
      </w:r>
      <w:r>
        <w:rPr>
          <w:sz w:val="28"/>
          <w:szCs w:val="28"/>
        </w:rPr>
        <w:t xml:space="preserve">муниципальный округ</w:t>
      </w:r>
      <w:r>
        <w:rPr>
          <w:sz w:val="28"/>
          <w:szCs w:val="28"/>
        </w:rPr>
        <w:t xml:space="preserve"> перспективен для разных видов туризма: событийного, культурно-познавательного, экологического, охоты и рыбалки.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Проживание на территории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разных национальностей (русские, мордва, 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тары и др.), и таких уникальных этнокультурных особенностей, как старообрядничество, может стать базой для развития этнографического туризма (село Кетрось, бывшее владение князей Гагар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ных, где жили старообрядцы).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Интересен в культурно-познавательном плане муниципальное бюджетное учреждение культуры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 Нижегородской области «Бутурлинский историко-краеведческий музей» (здание музея построено в конце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века), который насчитывает около 10 экспозиций, рассказывающих об истории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края</w:t>
      </w:r>
      <w:r>
        <w:rPr>
          <w:sz w:val="28"/>
          <w:szCs w:val="28"/>
        </w:rPr>
        <w:t xml:space="preserve"> со времен первобытного чел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века до наших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Бутурлинский край изначально был богат ремесленными традициями. Одни из самых ранних - бондарный и рогожный промыслы. Позже появились плотники, гончары, кузнецы, каменщ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ки и прочие. До наших дней дошли резьба по камню, лозоплетение, резьба по дереву.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расположены объекты – памятники историко-культурного насл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дия, представляющие интерес для туристов.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ind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Наибольший интерес как уникальнейшее природное явление  представляет карстовая пещера в с. Борнуково. Это одна из четырех подобных пещер, расположенных на территории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сии, которая может использоваться в качестве экскурсионно-туристического объекта.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right="-58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Месторасположение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очень выгодно: относительная отдаленность от областного центра, наличие автотранспортного и железнодорожного сообщения  делают возможным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щение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, как самостоятельного объекта показа, так и промежуточного на пути в Большое Болд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но.   Кроме того, территория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 расположена в климатической зоне, которая исключает природные катаклизмы, что делает Бутурлинский </w:t>
      </w:r>
      <w:r>
        <w:rPr>
          <w:sz w:val="28"/>
          <w:szCs w:val="28"/>
        </w:rPr>
        <w:t xml:space="preserve">округ</w:t>
      </w:r>
      <w:r>
        <w:rPr>
          <w:sz w:val="28"/>
          <w:szCs w:val="28"/>
        </w:rPr>
        <w:t xml:space="preserve"> привлекательным для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щения как в летний, так и в зимний период.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5"/>
        <w:ind w:left="0" w:right="-58" w:firstLine="720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 наиболее интересен Бутурлинский </w:t>
      </w:r>
      <w:r>
        <w:rPr>
          <w:sz w:val="28"/>
          <w:szCs w:val="28"/>
        </w:rPr>
        <w:t xml:space="preserve">округ</w:t>
      </w:r>
      <w:r>
        <w:rPr>
          <w:sz w:val="28"/>
          <w:szCs w:val="28"/>
        </w:rPr>
        <w:t xml:space="preserve"> для развития событийного туризма. Одним из самых ярких проектов этого направления является Всероссийский конкурс исполнителей народной песни «Вишневая метель» памяти Л.Г. Зыкиной.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Комплек</w:t>
      </w:r>
      <w:r>
        <w:rPr>
          <w:bCs/>
          <w:sz w:val="28"/>
          <w:szCs w:val="28"/>
        </w:rPr>
        <w:t xml:space="preserve">тование </w:t>
      </w:r>
      <w:r>
        <w:rPr>
          <w:bCs/>
          <w:sz w:val="28"/>
          <w:szCs w:val="28"/>
        </w:rPr>
        <w:t xml:space="preserve">фондов музея народной куклы</w:t>
      </w:r>
      <w:r>
        <w:rPr>
          <w:sz w:val="28"/>
          <w:szCs w:val="28"/>
        </w:rPr>
        <w:t xml:space="preserve"> будет осуществляться посредством создания реконструкций народных кукол, организации деятельности творческой студии «Радуница»,  дарения и результатов этнографических экспедиций.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Посетители смогут познакомиться с музеем посредством проведения тематических экскурсий, викторин, различных акций и мероприятий, кукольных спектаклей, мастер-классов, конкурсов, выставок.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воспитанников дошкольных у</w:t>
      </w:r>
      <w:r>
        <w:rPr>
          <w:sz w:val="28"/>
          <w:szCs w:val="28"/>
        </w:rPr>
        <w:t xml:space="preserve">чреждений района будут организованы регулярные выездные  занятия, в ходе которых они смогут познакомиться с историей народного быта, обычаев и верований через куклу, а также получат начальные трудовые навыки при самостоятельном изготовлении подобных кукол.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рекламы туристического потенциала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 в 2016 году выпущены буклеты «Творческая площадка 2016» и</w:t>
      </w:r>
      <w:r>
        <w:rPr>
          <w:sz w:val="28"/>
          <w:szCs w:val="28"/>
        </w:rPr>
        <w:t xml:space="preserve"> «Праздник цветущей вишни», ведется работа над выпуском нового буклета «Мастер-классы». Налаживаются связи с другими районами Нижегородской области, такими как Болдинский, Арзамасский, Сосновский, Спасский, в мероприятиях которых мастера творческих студий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 принимают активное участие. В целях пропаганды туристичес</w:t>
      </w:r>
      <w:r>
        <w:rPr>
          <w:sz w:val="28"/>
          <w:szCs w:val="28"/>
        </w:rPr>
        <w:t xml:space="preserve">кого потенциала района специалисты Центра досуга, ремесел и туризма сотрудничают с представителями СМИ, которые в 2016 году были постоянными гостями нашего края, что нашло отражение в публикациях различных изданий – газетах и журналах областного значения.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туристических событиях регулярно размещается на сайте отдела культуры управления делами администрации Бу</w:t>
      </w:r>
      <w:r>
        <w:rPr>
          <w:sz w:val="28"/>
          <w:szCs w:val="28"/>
        </w:rPr>
        <w:t xml:space="preserve">турлинского муниципального округа</w:t>
      </w:r>
      <w:r>
        <w:rPr>
          <w:sz w:val="28"/>
          <w:szCs w:val="28"/>
        </w:rPr>
        <w:t xml:space="preserve">. Центр досуга, ремесел и туризма активно сотрудничает с Нижегородским туристко-информационным центром, на сайте которого регулярно размещается информация о событиях культурной жизни </w:t>
      </w:r>
      <w:r>
        <w:rPr>
          <w:sz w:val="28"/>
          <w:szCs w:val="28"/>
        </w:rPr>
        <w:t xml:space="preserve">Бутурлинского округа</w:t>
      </w:r>
      <w:r>
        <w:rPr>
          <w:sz w:val="28"/>
          <w:szCs w:val="28"/>
        </w:rPr>
        <w:t xml:space="preserve">. Налаживается работа и с туристическими фирмами Нижнего Новгорода и Дзержинск</w:t>
      </w:r>
      <w:r>
        <w:rPr>
          <w:sz w:val="28"/>
          <w:szCs w:val="28"/>
        </w:rPr>
        <w:t xml:space="preserve">а, но, к сожалению, это направление деятельности пока не дало существенных результатов. Подробный анализ и опрос потенциальных туристов показал, что туристический поток сдерживает отсутствие инфраструктуры в районе (в первую очередь отсутствие гостиницы).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в</w:t>
      </w:r>
      <w:r>
        <w:rPr>
          <w:rFonts w:ascii="Times New Roman" w:hAnsi="Times New Roman" w:cs="Times New Roman"/>
          <w:sz w:val="28"/>
          <w:szCs w:val="28"/>
        </w:rPr>
        <w:t xml:space="preserve"> Бутурлинском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округе</w:t>
      </w:r>
      <w:r>
        <w:rPr>
          <w:rFonts w:ascii="Times New Roman" w:hAnsi="Times New Roman" w:cs="Times New Roman"/>
          <w:sz w:val="28"/>
          <w:szCs w:val="28"/>
        </w:rPr>
        <w:t xml:space="preserve">, несмотря на достаточный</w:t>
      </w:r>
      <w:r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 xml:space="preserve"> и новые творческие проекты Центра досуга, ремесел и туризма</w:t>
      </w:r>
      <w:r>
        <w:rPr>
          <w:rFonts w:ascii="Times New Roman" w:hAnsi="Times New Roman" w:cs="Times New Roman"/>
          <w:sz w:val="28"/>
          <w:szCs w:val="28"/>
        </w:rPr>
        <w:t xml:space="preserve">, туризм развит незначител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но. Основными причинами сложившейся ситуации являются следующие: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недостаточная маркетинговая политика по продвижению турпродукта (вся Нижегоро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ская область долгое время была «закрытой», поэтому мало известна на рынке и недостаточно популя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на);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недостаточно развитая материальная база туристской индустрии в Бутурлинском </w:t>
      </w:r>
      <w:r>
        <w:rPr>
          <w:rFonts w:ascii="Times New Roman" w:hAnsi="Times New Roman" w:cs="Times New Roman"/>
          <w:sz w:val="28"/>
          <w:szCs w:val="28"/>
        </w:rPr>
        <w:t xml:space="preserve">округе</w:t>
      </w:r>
      <w:r>
        <w:rPr>
          <w:rFonts w:ascii="Times New Roman" w:hAnsi="Times New Roman" w:cs="Times New Roman"/>
          <w:sz w:val="28"/>
          <w:szCs w:val="28"/>
        </w:rPr>
        <w:t xml:space="preserve"> и неразвитая туристская инфраструктура;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малочисленность объектов показа;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квалифицированных специалистов в сфере туризма, досуга и активного отдыха, декоративно-прикладного творчества, ремесел.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Косвенным фактором, сдерживающим рост туристских потоков в Бутурлинский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, явл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ется конкуренция со стороны традиционных туристских районов Нижегородской области - Семеновского («Золотая хохлома»), Большеболдинского («Пушкинское Болд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но»), Городецкого (деревянное зодчество), Балахнинского («Мининская слобода»), Дивеевского («Земля Серафима Саро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ского») и др.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и развития в Бутурлинском </w:t>
      </w:r>
      <w:r>
        <w:rPr>
          <w:rFonts w:ascii="Times New Roman" w:hAnsi="Times New Roman" w:cs="Times New Roman"/>
          <w:sz w:val="28"/>
          <w:szCs w:val="28"/>
        </w:rPr>
        <w:t xml:space="preserve">округе</w:t>
      </w:r>
      <w:r>
        <w:rPr>
          <w:rFonts w:ascii="Times New Roman" w:hAnsi="Times New Roman" w:cs="Times New Roman"/>
          <w:sz w:val="28"/>
          <w:szCs w:val="28"/>
        </w:rPr>
        <w:t xml:space="preserve"> сферы туризма, способствующей социально-экономическому развитию района,  разработана  насто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щая программа.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Цели, задачи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</w:t>
      </w:r>
      <w:r>
        <w:rPr>
          <w:iCs/>
          <w:sz w:val="28"/>
          <w:szCs w:val="28"/>
        </w:rPr>
        <w:t xml:space="preserve">ель  программы:</w:t>
      </w:r>
      <w:r>
        <w:rPr>
          <w:sz w:val="28"/>
          <w:szCs w:val="28"/>
        </w:rPr>
        <w:t xml:space="preserve"> формирование и развитие в Бутурлинском </w:t>
      </w:r>
      <w:r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округе</w:t>
      </w:r>
      <w:r>
        <w:rPr>
          <w:sz w:val="28"/>
          <w:szCs w:val="28"/>
        </w:rPr>
        <w:t xml:space="preserve"> сферы туризма, способствующей социально-экономическому развитию района, удовлетвор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потребностей граждан   в   активном   и   полноценном досуге и отдыхе, укреплению здоровья,  приобщению к культурным и историческим ценностям.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20"/>
        <w:jc w:val="both"/>
        <w:widowControl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Задачи программы: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7"/>
        <w:ind w:firstLine="720"/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маркетинг и реклама туристического потенциала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spacing w:line="240" w:lineRule="atLeast"/>
        <w:tabs>
          <w:tab w:val="left" w:pos="33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формирование конкурентоспособного турпродукта, участие выставках, форумах в сфере туризма, организация работы кружков, студий, клубов декоративно-прикладного творчества, создание экспозиций популяризирующих историко-культурное и природное наследие </w:t>
      </w:r>
      <w:r>
        <w:rPr>
          <w:sz w:val="28"/>
          <w:szCs w:val="28"/>
        </w:rPr>
        <w:t xml:space="preserve">Бутурлинского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, формирование базы данных потенциальных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ников туристических программ из числа жителей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и включение их к предоставл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нию услуг в сфере туризма,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Сроки и этапы реализации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 один этап.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7"/>
        <w:jc w:val="both"/>
        <w:rPr>
          <w:b/>
          <w:szCs w:val="24"/>
        </w:r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  <w:titlePg/>
        </w:sect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7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2.4. Перечень основных мероприятий программы</w:t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77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5446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276"/>
        <w:gridCol w:w="992"/>
        <w:gridCol w:w="1276"/>
        <w:gridCol w:w="992"/>
        <w:gridCol w:w="992"/>
        <w:gridCol w:w="992"/>
        <w:gridCol w:w="993"/>
        <w:gridCol w:w="992"/>
        <w:gridCol w:w="992"/>
        <w:gridCol w:w="992"/>
        <w:gridCol w:w="1276"/>
      </w:tblGrid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N п/п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Наименование мероприятия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Категория расходов (капвложения, НИОКР и прочие расходы)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Сроки выполнения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Исполнители мероприятий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Объем финансирования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9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(по годам) за счет средств муниципального бюджета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6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2024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всего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Cs w:val="24"/>
                <w:lang w:eastAsia="ru-RU"/>
              </w:rPr>
              <w:t xml:space="preserve">Муниципальная программа "Развитие въездного и внутреннего туризма в Бутурлинском муниципальном округе Нижегородской области"</w:t>
            </w:r>
            <w:r>
              <w:rPr>
                <w:b/>
                <w:bCs/>
                <w:color w:val="000000"/>
                <w:szCs w:val="24"/>
                <w:lang w:eastAsia="ru-RU"/>
              </w:rPr>
            </w:r>
            <w:r>
              <w:rPr>
                <w:b/>
                <w:bCs/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24358,2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36209,2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36059,6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35100,0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3595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  <w:t xml:space="preserve">9,9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41957,7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40407,2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41425,7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291067,4</w:t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  <w:p>
            <w:pPr>
              <w:pStyle w:val="877"/>
              <w:jc w:val="center"/>
              <w:rPr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  <w:r>
              <w:rPr>
                <w:b/>
                <w:bCs/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Цель программы: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Х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Х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1272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формирование и разви</w:t>
            </w:r>
            <w:r>
              <w:rPr>
                <w:color w:val="000000"/>
                <w:szCs w:val="24"/>
                <w:lang w:eastAsia="ru-RU"/>
              </w:rPr>
              <w:t xml:space="preserve">тие в Бутурлинском округе сферы туризма, способствующей социально-экономическому развитию округа,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98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Основное мероприятие 1. Расходы на услугу по организации деятельности кружков, творческих коллективов, клубных формирований, организация и проведение различных культурно-досуговых мероприятий, экскурсионное обслуживание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24258,2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34417,8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35309,6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35050,0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35799,9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41907,7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40407,2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41375,7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288226,0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100,0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1791,4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750,0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50,0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160,0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50,0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0,0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50</w:t>
            </w:r>
            <w:r>
              <w:rPr>
                <w:color w:val="000000"/>
                <w:szCs w:val="24"/>
                <w:lang w:eastAsia="ru-RU"/>
              </w:rPr>
              <w:t xml:space="preserve">,0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 xml:space="preserve">2841,4</w:t>
            </w:r>
            <w:r>
              <w:rPr>
                <w:color w:val="000000"/>
                <w:lang w:eastAsia="ru-RU"/>
              </w:rPr>
            </w:r>
            <w:r>
              <w:rPr>
                <w:color w:val="000000"/>
                <w:lang w:eastAsia="ru-RU"/>
              </w:rPr>
            </w:r>
          </w:p>
        </w:tc>
      </w:tr>
    </w:tbl>
    <w:p>
      <w:pPr>
        <w:pStyle w:val="877"/>
        <w:jc w:val="both"/>
        <w:rPr>
          <w:b/>
          <w:sz w:val="28"/>
        </w:rPr>
        <w:sectPr>
          <w:footnotePr/>
          <w:endnotePr/>
          <w:type w:val="nextPage"/>
          <w:pgSz w:w="16838" w:h="11906" w:orient="landscape"/>
          <w:pgMar w:top="567" w:right="567" w:bottom="284" w:left="1134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2.5. Индикаторы достижения цели и непосредственные результаты реализации </w:t>
      </w:r>
      <w:r>
        <w:rPr>
          <w:b/>
          <w:sz w:val="28"/>
        </w:rPr>
        <w:t xml:space="preserve">п</w:t>
      </w:r>
      <w:r>
        <w:rPr>
          <w:b/>
          <w:sz w:val="28"/>
        </w:rPr>
        <w:t xml:space="preserve">рограммы</w:t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0916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24"/>
        <w:gridCol w:w="2182"/>
        <w:gridCol w:w="1417"/>
        <w:gridCol w:w="922"/>
        <w:gridCol w:w="918"/>
        <w:gridCol w:w="882"/>
        <w:gridCol w:w="882"/>
        <w:gridCol w:w="720"/>
        <w:gridCol w:w="851"/>
        <w:gridCol w:w="709"/>
        <w:gridCol w:w="709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N п/п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Наименование индикатора/ непосредственного результата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Ед. измерения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Значение индикатора/непосредственного результата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2021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2022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2023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2024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2025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2026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2027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2028 год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2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3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4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5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7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9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10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</w:tr>
      <w:tr>
        <w:tblPrEx/>
        <w:trPr>
          <w:trHeight w:val="47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Муниципальная программа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9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Индикатор 1. Увеличение количества выставочных проектов, осуществляемых в районе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% по отношению к 2013 году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Непосредственный результат 1.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  <w:t xml:space="preserve">Увеличение количества туристических маршрутов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Единиц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82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Непосредственный результат 2. Увеличение количества объектов показа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Единиц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2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</w:tbl>
    <w:p>
      <w:pPr>
        <w:pStyle w:val="877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2.6. М</w:t>
      </w:r>
      <w:r>
        <w:rPr>
          <w:b/>
          <w:sz w:val="28"/>
        </w:rPr>
        <w:t xml:space="preserve">еры правового регулирования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разработка нормативно-правовых актов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2.7. Финансирование из внебюджетных источников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center"/>
        <w:tabs>
          <w:tab w:val="left" w:pos="1260" w:leader="none"/>
        </w:tabs>
        <w:rPr>
          <w:sz w:val="28"/>
        </w:rPr>
      </w:pPr>
      <w:r>
        <w:rPr>
          <w:sz w:val="28"/>
        </w:rPr>
        <w:t xml:space="preserve">а) Прогнозируемый объем расходов бюджетов за счет внебюджетных источников</w:t>
      </w:r>
      <w:r>
        <w:rPr>
          <w:sz w:val="28"/>
        </w:rPr>
      </w:r>
      <w:r>
        <w:rPr>
          <w:sz w:val="28"/>
        </w:rPr>
      </w:r>
    </w:p>
    <w:tbl>
      <w:tblPr>
        <w:tblW w:w="10632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850"/>
        <w:gridCol w:w="993"/>
        <w:gridCol w:w="992"/>
        <w:gridCol w:w="1134"/>
        <w:gridCol w:w="850"/>
        <w:gridCol w:w="1134"/>
        <w:gridCol w:w="851"/>
      </w:tblGrid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Статус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Соисполнители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55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Расходы (тыс. руб.), годы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2024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1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3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4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5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6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7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8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9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10</w:t>
            </w:r>
            <w:r>
              <w:rPr>
                <w:color w:val="000000"/>
                <w:sz w:val="18"/>
                <w:szCs w:val="18"/>
                <w:lang w:eastAsia="ru-RU"/>
              </w:rPr>
            </w:r>
            <w:r>
              <w:rPr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28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Муниципальная программа: «Развитие въездного и внутреннего туризма в Бутурлинском муниципальном округе»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МБУК «ЦДРиТ»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1132,0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1879,5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1153,5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1053,5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</w:tbl>
    <w:p>
      <w:pPr>
        <w:pStyle w:val="877"/>
        <w:ind w:firstLine="720"/>
        <w:jc w:val="both"/>
        <w:tabs>
          <w:tab w:val="left" w:pos="463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tabs>
          <w:tab w:val="left" w:pos="4635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tabs>
          <w:tab w:val="left" w:pos="4635" w:leader="none"/>
        </w:tabs>
        <w:rPr>
          <w:sz w:val="28"/>
        </w:rPr>
      </w:pPr>
      <w:r>
        <w:rPr>
          <w:sz w:val="28"/>
        </w:rPr>
        <w:t xml:space="preserve">     б) Условия финансирования</w:t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tabs>
          <w:tab w:val="left" w:pos="4635" w:leader="none"/>
        </w:tabs>
        <w:rPr>
          <w:sz w:val="28"/>
        </w:rPr>
      </w:pPr>
      <w:r>
        <w:rPr>
          <w:sz w:val="28"/>
        </w:rPr>
        <w:t xml:space="preserve">Финансирование из внебюджетных источников осуществляется за счет  заработанных средств муниципального бюджетного учреждения культуры Бутурлинского муниципального района Нижегородской области «Центр досуга, ремесел и туризма»</w:t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2.8. Участие в реализации программы муниципальных предприятий и иных организаций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both"/>
        <w:rPr>
          <w:sz w:val="28"/>
        </w:rPr>
      </w:pPr>
      <w:r>
        <w:rPr>
          <w:sz w:val="28"/>
        </w:rPr>
        <w:t xml:space="preserve">Участие в реализации </w:t>
      </w:r>
      <w:r>
        <w:rPr>
          <w:sz w:val="28"/>
        </w:rPr>
        <w:t xml:space="preserve">п</w:t>
      </w:r>
      <w:r>
        <w:rPr>
          <w:sz w:val="28"/>
        </w:rPr>
        <w:t xml:space="preserve">рограммы муниципальных предприятий, акционерных обществ с участием Бутурлинского муниципального </w:t>
      </w:r>
      <w:r>
        <w:rPr>
          <w:sz w:val="28"/>
        </w:rPr>
        <w:t xml:space="preserve">округа</w:t>
      </w:r>
      <w:r>
        <w:rPr>
          <w:sz w:val="28"/>
        </w:rPr>
        <w:t xml:space="preserve">, общественных, научных и иных организаций не пред</w:t>
      </w:r>
      <w:r>
        <w:rPr>
          <w:sz w:val="28"/>
        </w:rPr>
        <w:t xml:space="preserve">усмотрено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2.9</w:t>
      </w:r>
      <w:r>
        <w:rPr>
          <w:b/>
          <w:sz w:val="28"/>
        </w:rPr>
        <w:t xml:space="preserve">. Обоснование объема финансовых ресурсов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77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Ресурсное обеспечение реализации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рограммы за счет средств </w:t>
      </w:r>
      <w:r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 xml:space="preserve">бюджета</w:t>
      </w:r>
      <w:r>
        <w:rPr>
          <w:sz w:val="28"/>
          <w:szCs w:val="28"/>
        </w:rPr>
        <w:t xml:space="preserve"> Бутурлинского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both"/>
        <w:widowControl w:val="off"/>
      </w:pPr>
      <w:r/>
      <w:r/>
    </w:p>
    <w:tbl>
      <w:tblPr>
        <w:tblW w:w="11350" w:type="dxa"/>
        <w:tblInd w:w="-1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80"/>
        <w:gridCol w:w="1351"/>
        <w:gridCol w:w="1621"/>
        <w:gridCol w:w="946"/>
        <w:gridCol w:w="674"/>
        <w:gridCol w:w="811"/>
        <w:gridCol w:w="810"/>
        <w:gridCol w:w="811"/>
        <w:gridCol w:w="810"/>
        <w:gridCol w:w="812"/>
        <w:gridCol w:w="812"/>
        <w:gridCol w:w="812"/>
      </w:tblGrid>
      <w:tr>
        <w:tblPrEx/>
        <w:trPr>
          <w:gridAfter w:val="1"/>
          <w:trHeight w:val="3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Статус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Наименование муниципальной программы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</w:pPr>
            <w:r>
              <w:rPr>
                <w:color w:val="000000"/>
                <w:szCs w:val="24"/>
                <w:lang w:eastAsia="ru-RU"/>
              </w:rPr>
              <w:t xml:space="preserve">Муниципальный заказчик-координатор, соисполнители</w:t>
            </w:r>
            <w:r/>
          </w:p>
        </w:tc>
        <w:tc>
          <w:tcPr>
            <w:gridSpan w:val="8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48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Расходы (тыс. руб.), годы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6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2024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2028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3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2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3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4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5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6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7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8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9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10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</w:tr>
      <w:tr>
        <w:tblPrEx/>
        <w:trPr>
          <w:gridAfter w:val="1"/>
          <w:trHeight w:val="317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Муниципальная программа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Развитие въездного и внутреннего туризма в Бутурлинском муниципальном округе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всего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15909,3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34329,7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36059,6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35100,0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35549,9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35602,5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35561,9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35561,9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9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муниципальный заказчик-координатор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9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соисполнитель 1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15909,3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34329,7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36059,6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35100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35549,9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35602,5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35561,9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35561,9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9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соисполнитель 2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105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3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Подпрограмма «Обеспечение реализации муниципальной программы»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621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муниципальный заказчик-координатор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4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7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12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0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W w:w="812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</w:tbl>
    <w:p>
      <w:pPr>
        <w:pStyle w:val="877"/>
        <w:jc w:val="center"/>
        <w:widowControl w:val="off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567" w:right="567" w:bottom="567" w:left="1134" w:header="709" w:footer="709" w:gutter="0"/>
          <w:cols w:num="1" w:sep="0" w:space="708" w:equalWidth="1"/>
          <w:docGrid w:linePitch="360"/>
        </w:sectPr>
        <w:outlineLvl w:val="4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jc w:val="center"/>
        <w:widowControl w:val="off"/>
        <w:rPr>
          <w:b/>
          <w:sz w:val="28"/>
          <w:szCs w:val="28"/>
        </w:rPr>
        <w:outlineLvl w:val="4"/>
      </w:pPr>
      <w:r>
        <w:rPr>
          <w:b/>
          <w:sz w:val="28"/>
          <w:szCs w:val="28"/>
        </w:rPr>
        <w:t xml:space="preserve">Прогнозная оценка расходов на реализацию программы за счет всех источников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both"/>
        <w:spacing w:line="360" w:lineRule="auto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1028" w:type="dxa"/>
        <w:tblInd w:w="-111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1"/>
        <w:gridCol w:w="1564"/>
        <w:gridCol w:w="2127"/>
        <w:gridCol w:w="708"/>
        <w:gridCol w:w="851"/>
        <w:gridCol w:w="850"/>
        <w:gridCol w:w="709"/>
        <w:gridCol w:w="708"/>
        <w:gridCol w:w="709"/>
        <w:gridCol w:w="851"/>
        <w:gridCol w:w="850"/>
      </w:tblGrid>
      <w:tr>
        <w:tblPrEx/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Статус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Наименование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Источники финансирования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Оценка расходов (тыс. руб.), годы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</w:tr>
      <w:tr>
        <w:tblPrEx/>
        <w:trPr>
          <w:trHeight w:val="6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2024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2028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1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2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 xml:space="preserve">3</w:t>
            </w:r>
            <w:r>
              <w:rPr>
                <w:color w:val="000000"/>
                <w:sz w:val="20"/>
                <w:lang w:eastAsia="ru-RU"/>
              </w:rPr>
            </w:r>
            <w:r>
              <w:rPr>
                <w:color w:val="000000"/>
                <w:sz w:val="20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8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10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77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11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Программа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Развитие въездного и внутреннего туризма в Бутурлинском муниципальном округе Нижегородской области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24358,2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36209,2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38027,5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38972,4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36903,4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42103,9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41425,7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15909,3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34329,7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36059,6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35100,0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35549,9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41966,9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41425,7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7266,9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195,5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1001,3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618,9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1817,6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1132,0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1879,5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1053,5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Основное мероприятие 1. Расходы на услугу по организации деятельности кружков, творческих коллективов, клубных формирований, организация и проведение различных культурно-досуговых мероприятий, экскурсионное обслуживание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24258,2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34417,8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37277,5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37583,4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36853,4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42053,9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41375,7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15809,3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33238,3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35309,6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35050,0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35499,9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41916,9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41375,7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7266,9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195,5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1001,3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618,9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478,6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1132,0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1179,5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1053,5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1.1. Обеспечение деятельности МБУК "ЦДРиТ"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24258,2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32668,6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31868,2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35734,1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36512,8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41907,70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41375,70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15809,3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31489,1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30714,7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34680,6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35459,3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41907,70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40407,20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41375,70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7266,9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 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1132,0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1179,5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1053,5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1053,5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1.2. Маркетинг и реклама туристического потенциала Бутурлинского района (создание и обслуживание туристко-информационного сайта)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bottom"/>
            <w:textDirection w:val="lrTb"/>
            <w:noWrap/>
          </w:tcPr>
          <w:p>
            <w:pPr>
              <w:pStyle w:val="877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1.3. Ремонт, замена, реконструкция зданий, строительство зданий, сооружений, оборудования, электро- и газосчетчика и т.п.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5269,8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4587,0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163,9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518,9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1.4. Приобретение оборудования, мебели, компьютерного оборудования, оргтехники, развитие и укрепление материально-технической базы домов культуры и т.д.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1749,1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139,5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1749,3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340,6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146,2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1749,1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269,4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40,6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9,2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31,6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1001,3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36,9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478,6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1.5. Формирование конкурентоспособного турпродукта, развитие инфраструктуры туризма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1.6. Подготовка и переподготовка кадров, повышение квалификации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1791,4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1389,0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1091,4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1339,0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2.1. Проведение Всероссийского фестиваля- конкурса исполнителей народной песни «Вишнёвая метель» памяти Л.Г. Зыкиной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769,1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1389,0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169,1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750,0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1339,0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600,0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2.2. Проведение праздника цветения вишни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2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2.3. Проведение фестиваля мастеров народных промыслов и ремесел «Борнуковская слобода»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2.4. Празднование государственных праздников России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110,0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 xml:space="preserve">Мероприятие 2.5. Празднование юбилейной даты образования Бутурлино (470-летие)</w:t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Всего (1) + (2) + (3) + (4) + (5)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1022,3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(1) расходы местных бюджетов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922,3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(2) расходы областного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(3) расходы федерального бюджета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6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(4) юридические лица и индивидуальные предприниматели 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90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5" w:type="dxa"/>
            <w:vAlign w:val="center"/>
            <w:vMerge w:val="continue"/>
            <w:textDirection w:val="lrTb"/>
            <w:noWrap w:val="false"/>
          </w:tcPr>
          <w:p>
            <w:pPr>
              <w:pStyle w:val="877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  <w:r>
              <w:rPr>
                <w:color w:val="000000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color w:val="000000"/>
                <w:sz w:val="23"/>
                <w:szCs w:val="23"/>
                <w:lang w:eastAsia="ru-RU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23"/>
                <w:szCs w:val="23"/>
                <w:lang w:eastAsia="ru-RU"/>
              </w:rPr>
            </w:r>
            <w:r>
              <w:rPr>
                <w:color w:val="000000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100,0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87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0,0</w:t>
            </w:r>
            <w:r>
              <w:rPr>
                <w:color w:val="000000"/>
                <w:sz w:val="22"/>
                <w:szCs w:val="22"/>
                <w:lang w:eastAsia="ru-RU"/>
              </w:rPr>
            </w:r>
            <w:r>
              <w:rPr>
                <w:color w:val="000000"/>
                <w:sz w:val="22"/>
                <w:szCs w:val="22"/>
                <w:lang w:eastAsia="ru-RU"/>
              </w:rPr>
            </w:r>
          </w:p>
        </w:tc>
      </w:tr>
    </w:tbl>
    <w:p>
      <w:pPr>
        <w:pStyle w:val="898"/>
        <w:ind w:left="0"/>
        <w:jc w:val="both"/>
        <w:spacing w:after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567" w:right="707" w:bottom="567" w:left="156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mbria">
    <w:panose1 w:val="0204050305040603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separate"/>
    </w:r>
    <w:r>
      <w:rPr>
        <w:rStyle w:val="895"/>
      </w:rPr>
      <w:t xml:space="preserve">2</w: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3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  <w:r>
      <w:rPr>
        <w:rStyle w:val="895"/>
      </w:rPr>
    </w:r>
  </w:p>
  <w:p>
    <w:pPr>
      <w:pStyle w:val="8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7"/>
    <w:next w:val="877"/>
    <w:link w:val="70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4">
    <w:name w:val="Heading 1 Char"/>
    <w:basedOn w:val="878"/>
    <w:link w:val="70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5">
    <w:name w:val="Heading 2"/>
    <w:basedOn w:val="877"/>
    <w:next w:val="877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6">
    <w:name w:val="Heading 2 Char"/>
    <w:basedOn w:val="878"/>
    <w:link w:val="705"/>
    <w:uiPriority w:val="9"/>
    <w:rPr>
      <w:rFonts w:ascii="Liberation Sans" w:hAnsi="Liberation Sans" w:eastAsia="Liberation Sans" w:cs="Liberation Sans"/>
      <w:sz w:val="34"/>
    </w:rPr>
  </w:style>
  <w:style w:type="paragraph" w:styleId="707">
    <w:name w:val="Heading 3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8">
    <w:name w:val="Heading 3 Char"/>
    <w:basedOn w:val="878"/>
    <w:link w:val="70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9">
    <w:name w:val="Heading 4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0">
    <w:name w:val="Heading 4 Char"/>
    <w:basedOn w:val="878"/>
    <w:link w:val="70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1">
    <w:name w:val="Heading 5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2">
    <w:name w:val="Heading 5 Char"/>
    <w:basedOn w:val="878"/>
    <w:link w:val="7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3">
    <w:name w:val="Heading 6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4">
    <w:name w:val="Heading 6 Char"/>
    <w:basedOn w:val="878"/>
    <w:link w:val="71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5">
    <w:name w:val="Heading 7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6">
    <w:name w:val="Heading 7 Char"/>
    <w:basedOn w:val="878"/>
    <w:link w:val="71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7">
    <w:name w:val="Heading 8"/>
    <w:basedOn w:val="877"/>
    <w:next w:val="877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8">
    <w:name w:val="Heading 8 Char"/>
    <w:basedOn w:val="878"/>
    <w:link w:val="71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9">
    <w:name w:val="Heading 9"/>
    <w:basedOn w:val="877"/>
    <w:next w:val="877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>
    <w:name w:val="Heading 9 Char"/>
    <w:basedOn w:val="878"/>
    <w:link w:val="7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1">
    <w:name w:val="List Paragraph"/>
    <w:basedOn w:val="877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before="0" w:after="0" w:line="240" w:lineRule="auto"/>
    </w:pPr>
  </w:style>
  <w:style w:type="character" w:styleId="723">
    <w:name w:val="Title Char"/>
    <w:basedOn w:val="878"/>
    <w:link w:val="883"/>
    <w:uiPriority w:val="10"/>
    <w:rPr>
      <w:sz w:val="48"/>
      <w:szCs w:val="48"/>
    </w:rPr>
  </w:style>
  <w:style w:type="character" w:styleId="724">
    <w:name w:val="Subtitle Char"/>
    <w:basedOn w:val="878"/>
    <w:link w:val="885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8"/>
    <w:link w:val="893"/>
    <w:uiPriority w:val="99"/>
  </w:style>
  <w:style w:type="paragraph" w:styleId="730">
    <w:name w:val="Footer"/>
    <w:basedOn w:val="877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basedOn w:val="878"/>
    <w:link w:val="730"/>
    <w:uiPriority w:val="99"/>
  </w:style>
  <w:style w:type="paragraph" w:styleId="732">
    <w:name w:val="Caption"/>
    <w:basedOn w:val="877"/>
    <w:next w:val="877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878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8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  <w:rPr>
      <w:rFonts w:ascii="Times New Roman" w:hAnsi="Times New Roman" w:eastAsia="Times New Roman"/>
      <w:sz w:val="24"/>
      <w:lang w:eastAsia="ar-SA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Body Text"/>
    <w:basedOn w:val="877"/>
    <w:link w:val="882"/>
    <w:pPr>
      <w:spacing w:after="120"/>
    </w:pPr>
  </w:style>
  <w:style w:type="character" w:styleId="882" w:customStyle="1">
    <w:name w:val="Основной текст Знак"/>
    <w:link w:val="881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883">
    <w:name w:val="Title"/>
    <w:basedOn w:val="877"/>
    <w:next w:val="877"/>
    <w:link w:val="884"/>
    <w:uiPriority w:val="99"/>
    <w:qFormat/>
    <w:pPr>
      <w:jc w:val="center"/>
    </w:pPr>
    <w:rPr>
      <w:b/>
      <w:i/>
      <w:sz w:val="28"/>
    </w:rPr>
  </w:style>
  <w:style w:type="character" w:styleId="884" w:customStyle="1">
    <w:name w:val="Название Знак"/>
    <w:link w:val="883"/>
    <w:uiPriority w:val="99"/>
    <w:rPr>
      <w:rFonts w:ascii="Times New Roman" w:hAnsi="Times New Roman" w:eastAsia="Times New Roman" w:cs="Times New Roman"/>
      <w:b/>
      <w:i/>
      <w:sz w:val="28"/>
      <w:szCs w:val="20"/>
      <w:lang w:eastAsia="ar-SA"/>
    </w:rPr>
  </w:style>
  <w:style w:type="paragraph" w:styleId="885">
    <w:name w:val="Subtitle"/>
    <w:basedOn w:val="877"/>
    <w:next w:val="877"/>
    <w:link w:val="886"/>
    <w:uiPriority w:val="11"/>
    <w:qFormat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886" w:customStyle="1">
    <w:name w:val="Подзаголовок Знак"/>
    <w:link w:val="885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ar-SA"/>
    </w:rPr>
  </w:style>
  <w:style w:type="paragraph" w:styleId="887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888" w:customStyle="1">
    <w:name w:val="ConsPlusTitle"/>
    <w:pPr>
      <w:widowControl w:val="off"/>
    </w:pPr>
    <w:rPr>
      <w:rFonts w:ascii="Arial" w:hAnsi="Arial" w:eastAsia="Times New Roman" w:cs="Arial"/>
      <w:b/>
      <w:bCs/>
    </w:rPr>
  </w:style>
  <w:style w:type="paragraph" w:styleId="889">
    <w:name w:val="Body Text 2"/>
    <w:basedOn w:val="877"/>
    <w:link w:val="890"/>
    <w:pPr>
      <w:spacing w:after="120" w:line="480" w:lineRule="auto"/>
    </w:pPr>
  </w:style>
  <w:style w:type="character" w:styleId="890" w:customStyle="1">
    <w:name w:val="Основной текст 2 Знак"/>
    <w:link w:val="889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891">
    <w:name w:val="Body Text Indent 2"/>
    <w:basedOn w:val="877"/>
    <w:link w:val="892"/>
    <w:pPr>
      <w:ind w:left="283"/>
      <w:spacing w:after="120" w:line="480" w:lineRule="auto"/>
    </w:pPr>
  </w:style>
  <w:style w:type="character" w:styleId="892" w:customStyle="1">
    <w:name w:val="Основной текст с отступом 2 Знак"/>
    <w:link w:val="891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893">
    <w:name w:val="Header"/>
    <w:basedOn w:val="877"/>
    <w:link w:val="894"/>
    <w:pPr>
      <w:tabs>
        <w:tab w:val="center" w:pos="4536" w:leader="none"/>
        <w:tab w:val="right" w:pos="9072" w:leader="none"/>
      </w:tabs>
    </w:pPr>
  </w:style>
  <w:style w:type="character" w:styleId="894" w:customStyle="1">
    <w:name w:val="Верхний колонтитул Знак"/>
    <w:link w:val="893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895">
    <w:name w:val="page number"/>
    <w:basedOn w:val="878"/>
  </w:style>
  <w:style w:type="paragraph" w:styleId="896" w:customStyle="1">
    <w:name w:val="s_3"/>
    <w:basedOn w:val="877"/>
    <w:pPr>
      <w:spacing w:before="100" w:beforeAutospacing="1" w:after="100" w:afterAutospacing="1"/>
    </w:pPr>
    <w:rPr>
      <w:szCs w:val="24"/>
      <w:lang w:eastAsia="ru-RU"/>
    </w:rPr>
  </w:style>
  <w:style w:type="paragraph" w:styleId="897" w:customStyle="1">
    <w:name w:val="s_1"/>
    <w:basedOn w:val="877"/>
    <w:pPr>
      <w:spacing w:before="100" w:beforeAutospacing="1" w:after="100" w:afterAutospacing="1"/>
    </w:pPr>
    <w:rPr>
      <w:szCs w:val="24"/>
      <w:lang w:eastAsia="ru-RU"/>
    </w:rPr>
  </w:style>
  <w:style w:type="paragraph" w:styleId="898">
    <w:name w:val="Body Text Indent"/>
    <w:basedOn w:val="877"/>
    <w:link w:val="899"/>
    <w:pPr>
      <w:ind w:left="283"/>
      <w:spacing w:after="120"/>
    </w:pPr>
  </w:style>
  <w:style w:type="character" w:styleId="899" w:customStyle="1">
    <w:name w:val="Основной текст с отступом Знак"/>
    <w:link w:val="898"/>
    <w:rPr>
      <w:rFonts w:ascii="Times New Roman" w:hAnsi="Times New Roman" w:eastAsia="Times New Roman"/>
      <w:sz w:val="24"/>
      <w:lang w:eastAsia="ar-SA"/>
    </w:rPr>
  </w:style>
  <w:style w:type="character" w:styleId="900">
    <w:name w:val="Hyperlink"/>
    <w:uiPriority w:val="99"/>
    <w:unhideWhenUsed/>
    <w:rPr>
      <w:color w:val="0563c1"/>
      <w:u w:val="single"/>
    </w:rPr>
  </w:style>
  <w:style w:type="character" w:styleId="901">
    <w:name w:val="FollowedHyperlink"/>
    <w:basedOn w:val="878"/>
    <w:uiPriority w:val="99"/>
    <w:semiHidden/>
    <w:unhideWhenUsed/>
    <w:rPr>
      <w:color w:val="800080"/>
      <w:u w:val="single"/>
    </w:rPr>
  </w:style>
  <w:style w:type="paragraph" w:styleId="902" w:customStyle="1">
    <w:name w:val="font5"/>
    <w:basedOn w:val="877"/>
    <w:pPr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styleId="903" w:customStyle="1">
    <w:name w:val="xl65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lang w:eastAsia="ru-RU"/>
    </w:rPr>
  </w:style>
  <w:style w:type="paragraph" w:styleId="904" w:customStyle="1">
    <w:name w:val="xl66"/>
    <w:basedOn w:val="87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3"/>
      <w:szCs w:val="23"/>
      <w:lang w:eastAsia="ru-RU"/>
    </w:rPr>
  </w:style>
  <w:style w:type="paragraph" w:styleId="905" w:customStyle="1">
    <w:name w:val="xl67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3"/>
      <w:szCs w:val="23"/>
      <w:lang w:eastAsia="ru-RU"/>
    </w:rPr>
  </w:style>
  <w:style w:type="paragraph" w:styleId="906" w:customStyle="1">
    <w:name w:val="xl68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  <w:lang w:eastAsia="ru-RU"/>
    </w:rPr>
  </w:style>
  <w:style w:type="paragraph" w:styleId="907" w:customStyle="1">
    <w:name w:val="xl69"/>
    <w:basedOn w:val="877"/>
    <w:pPr>
      <w:spacing w:before="100" w:beforeAutospacing="1" w:after="100" w:afterAutospacing="1"/>
    </w:pPr>
    <w:rPr>
      <w:color w:val="ff0000"/>
      <w:szCs w:val="24"/>
      <w:lang w:eastAsia="ru-RU"/>
    </w:rPr>
  </w:style>
  <w:style w:type="paragraph" w:styleId="908" w:customStyle="1">
    <w:name w:val="xl7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09" w:customStyle="1">
    <w:name w:val="xl71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  <w:lang w:eastAsia="ru-RU"/>
    </w:rPr>
  </w:style>
  <w:style w:type="paragraph" w:styleId="910" w:customStyle="1">
    <w:name w:val="xl72"/>
    <w:basedOn w:val="87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11" w:customStyle="1">
    <w:name w:val="xl73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12" w:customStyle="1">
    <w:name w:val="xl74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  <w:lang w:eastAsia="ru-RU"/>
    </w:rPr>
  </w:style>
  <w:style w:type="paragraph" w:styleId="913" w:customStyle="1">
    <w:name w:val="xl75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Cs w:val="24"/>
      <w:lang w:eastAsia="ru-RU"/>
    </w:rPr>
  </w:style>
  <w:style w:type="paragraph" w:styleId="914" w:customStyle="1">
    <w:name w:val="xl76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15" w:customStyle="1">
    <w:name w:val="xl77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  <w:lang w:eastAsia="ru-RU"/>
    </w:rPr>
  </w:style>
  <w:style w:type="paragraph" w:styleId="916" w:customStyle="1">
    <w:name w:val="xl78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17" w:customStyle="1">
    <w:name w:val="xl79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  <w:lang w:eastAsia="ru-RU"/>
    </w:rPr>
  </w:style>
  <w:style w:type="paragraph" w:styleId="918" w:customStyle="1">
    <w:name w:val="xl80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19" w:customStyle="1">
    <w:name w:val="xl81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20" w:customStyle="1">
    <w:name w:val="xl82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Cs w:val="24"/>
      <w:lang w:eastAsia="ru-RU"/>
    </w:rPr>
  </w:style>
  <w:style w:type="paragraph" w:styleId="921" w:customStyle="1">
    <w:name w:val="xl83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22" w:customStyle="1">
    <w:name w:val="xl84"/>
    <w:basedOn w:val="87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23" w:customStyle="1">
    <w:name w:val="xl85"/>
    <w:basedOn w:val="877"/>
    <w:pPr>
      <w:jc w:val="both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24" w:customStyle="1">
    <w:name w:val="xl86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color w:val="000000"/>
      <w:szCs w:val="24"/>
      <w:lang w:eastAsia="ru-RU"/>
    </w:rPr>
  </w:style>
  <w:style w:type="paragraph" w:styleId="925" w:customStyle="1">
    <w:name w:val="xl87"/>
    <w:basedOn w:val="877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26" w:customStyle="1">
    <w:name w:val="xl88"/>
    <w:basedOn w:val="877"/>
    <w:pPr>
      <w:spacing w:before="100" w:beforeAutospacing="1" w:after="100" w:afterAutospacing="1"/>
      <w:pBdr>
        <w:left w:val="single" w:color="000000" w:sz="4" w:space="0"/>
      </w:pBdr>
    </w:pPr>
    <w:rPr>
      <w:color w:val="000000"/>
      <w:szCs w:val="24"/>
      <w:lang w:eastAsia="ru-RU"/>
    </w:rPr>
  </w:style>
  <w:style w:type="paragraph" w:styleId="927" w:customStyle="1">
    <w:name w:val="xl89"/>
    <w:basedOn w:val="877"/>
    <w:pPr>
      <w:spacing w:before="100" w:beforeAutospacing="1" w:after="100" w:afterAutospacing="1"/>
      <w:pBdr>
        <w:right w:val="single" w:color="000000" w:sz="4" w:space="0"/>
      </w:pBdr>
    </w:pPr>
    <w:rPr>
      <w:color w:val="000000"/>
      <w:szCs w:val="24"/>
      <w:lang w:eastAsia="ru-RU"/>
    </w:rPr>
  </w:style>
  <w:style w:type="paragraph" w:styleId="928" w:customStyle="1">
    <w:name w:val="xl90"/>
    <w:basedOn w:val="877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color w:val="000000"/>
      <w:szCs w:val="24"/>
      <w:lang w:eastAsia="ru-RU"/>
    </w:rPr>
  </w:style>
  <w:style w:type="paragraph" w:styleId="929" w:customStyle="1">
    <w:name w:val="xl91"/>
    <w:basedOn w:val="877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30" w:customStyle="1">
    <w:name w:val="xl92"/>
    <w:basedOn w:val="87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Cs w:val="24"/>
      <w:lang w:eastAsia="ru-RU"/>
    </w:rPr>
  </w:style>
  <w:style w:type="paragraph" w:styleId="931" w:customStyle="1">
    <w:name w:val="Название"/>
    <w:basedOn w:val="883"/>
    <w:next w:val="883"/>
    <w:link w:val="890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2" w:customStyle="1">
    <w:name w:val="Основной текст"/>
    <w:basedOn w:val="883"/>
    <w:next w:val="887"/>
    <w:link w:val="88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3" w:customStyle="1">
    <w:name w:val="Подзаголовок"/>
    <w:basedOn w:val="883"/>
    <w:next w:val="883"/>
    <w:link w:val="892"/>
    <w:uiPriority w:val="1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Times New Roman" w:cs="Times New Roman"/>
      <w:b w:val="0"/>
      <w:bCs w:val="0"/>
      <w:i/>
      <w:iCs/>
      <w:caps w:val="0"/>
      <w:smallCaps w:val="0"/>
      <w:strike w:val="0"/>
      <w:vanish w:val="0"/>
      <w:color w:val="4f81bd"/>
      <w:spacing w:val="15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character" w:styleId="934" w:customStyle="1">
    <w:name w:val="docdata,docy,v5,1698,bqiaagaaeyqcaaagiaiaaaodawaabasdaaaaaaaaaaaaaaaaaaaaaaaaaaaaaaaaaaaaaaaaaaaaaaaaaaaaaaaaaaaaaaaaaaaaaaaaaaaaaaaaaaaaaaaaaaaaaaaaaaaaaaaaaaaaaaaaaaaaaaaaaaaaaaaaaaaaaaaaaaaaaaaaaaaaaaaaaaaaaaaaaaaaaaaaaaaaaaaaaaaaaaaaaaaaaaaaaaaaaaaa"/>
    <w:link w:val="883"/>
  </w:style>
  <w:style w:type="paragraph" w:styleId="935" w:customStyle="1">
    <w:name w:val="Основной текст с отступом 2"/>
    <w:basedOn w:val="883"/>
    <w:next w:val="897"/>
    <w:link w:val="898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6" w:customStyle="1">
    <w:name w:val="Основной текст 2"/>
    <w:basedOn w:val="883"/>
    <w:next w:val="895"/>
    <w:link w:val="89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C018-C1E6-494F-B83C-A88CE03F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Wolfish Lair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eco-petrova</dc:creator>
  <cp:lastModifiedBy>ekonomika-3</cp:lastModifiedBy>
  <cp:revision>15</cp:revision>
  <dcterms:created xsi:type="dcterms:W3CDTF">2024-11-08T13:03:00Z</dcterms:created>
  <dcterms:modified xsi:type="dcterms:W3CDTF">2026-03-27T10:28:00Z</dcterms:modified>
</cp:coreProperties>
</file>